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9668FE">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2D1EA7" w:rsidRDefault="009C66CB">
                  <w:pPr>
                    <w:pStyle w:val="NoSpacing"/>
                    <w:rPr>
                      <w:sz w:val="64"/>
                      <w:szCs w:val="64"/>
                    </w:rPr>
                  </w:pPr>
                  <w:r>
                    <w:rPr>
                      <w:sz w:val="64"/>
                      <w:szCs w:val="64"/>
                    </w:rPr>
                    <w:t>Financial Reporting</w:t>
                  </w:r>
                </w:p>
                <w:p w:rsidR="009C66CB" w:rsidRPr="002D1EA7" w:rsidRDefault="009C66CB" w:rsidP="009C66CB">
                  <w:pPr>
                    <w:pStyle w:val="NoSpacing"/>
                    <w:numPr>
                      <w:ilvl w:val="0"/>
                      <w:numId w:val="14"/>
                    </w:numPr>
                    <w:rPr>
                      <w:i/>
                      <w:sz w:val="44"/>
                      <w:szCs w:val="44"/>
                    </w:rPr>
                  </w:pPr>
                  <w:r>
                    <w:rPr>
                      <w:sz w:val="64"/>
                      <w:szCs w:val="64"/>
                    </w:rPr>
                    <w:t>Pitfalls And What To Watch Out For</w:t>
                  </w:r>
                </w:p>
                <w:p w:rsidR="00FA3D7F" w:rsidRDefault="00FA3D7F">
                  <w:pPr>
                    <w:pStyle w:val="NoSpacing"/>
                    <w:rPr>
                      <w:sz w:val="40"/>
                      <w:szCs w:val="40"/>
                    </w:rPr>
                  </w:pPr>
                </w:p>
                <w:p w:rsidR="00696AB3" w:rsidRPr="00696AB3" w:rsidRDefault="000209B6">
                  <w:pPr>
                    <w:pStyle w:val="NoSpacing"/>
                    <w:rPr>
                      <w:color w:val="FFFFFF"/>
                      <w:sz w:val="40"/>
                      <w:szCs w:val="40"/>
                    </w:rPr>
                  </w:pPr>
                  <w:r>
                    <w:rPr>
                      <w:sz w:val="40"/>
                      <w:szCs w:val="40"/>
                    </w:rPr>
                    <w:t>20</w:t>
                  </w:r>
                  <w:r w:rsidRPr="000209B6">
                    <w:rPr>
                      <w:sz w:val="40"/>
                      <w:szCs w:val="40"/>
                      <w:vertAlign w:val="superscript"/>
                    </w:rPr>
                    <w:t>th</w:t>
                  </w:r>
                  <w:r>
                    <w:rPr>
                      <w:sz w:val="40"/>
                      <w:szCs w:val="40"/>
                    </w:rPr>
                    <w:t xml:space="preserve"> October / 7</w:t>
                  </w:r>
                  <w:r w:rsidRPr="000209B6">
                    <w:rPr>
                      <w:sz w:val="40"/>
                      <w:szCs w:val="40"/>
                      <w:vertAlign w:val="superscript"/>
                    </w:rPr>
                    <w:t>th</w:t>
                  </w:r>
                  <w:r>
                    <w:rPr>
                      <w:sz w:val="40"/>
                      <w:szCs w:val="40"/>
                    </w:rPr>
                    <w:t xml:space="preserve"> December</w:t>
                  </w:r>
                </w:p>
                <w:p w:rsidR="00696AB3" w:rsidRPr="00696AB3" w:rsidRDefault="00696AB3">
                  <w:pPr>
                    <w:pStyle w:val="NoSpacing"/>
                    <w:rPr>
                      <w:color w:val="FFFFFF"/>
                    </w:rPr>
                  </w:pPr>
                </w:p>
                <w:p w:rsidR="00696AB3" w:rsidRPr="00696AB3" w:rsidRDefault="009C66CB" w:rsidP="009C66CB">
                  <w:pPr>
                    <w:pStyle w:val="NoSpacing"/>
                    <w:jc w:val="both"/>
                    <w:rPr>
                      <w:color w:val="FFFFFF"/>
                    </w:rPr>
                  </w:pPr>
                  <w:r w:rsidRPr="009C66CB">
                    <w:t>Financial reporting is the life-blood of the capital markets. Regulatory action has often been taken against directors for negligence, recklessness or fraud in relation to financial statements.</w:t>
                  </w:r>
                </w:p>
              </w:txbxContent>
            </v:textbox>
          </v:rect>
        </w:pict>
      </w:r>
    </w:p>
    <w:p w:rsidR="00696AB3" w:rsidRDefault="00696AB3"/>
    <w:p w:rsidR="00D35263" w:rsidRDefault="009668F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9668FE">
      <w:r w:rsidRPr="009668FE">
        <w:rPr>
          <w:rFonts w:asciiTheme="minorHAnsi" w:hAnsiTheme="minorHAnsi"/>
          <w:noProof/>
          <w:lang w:val="en-US"/>
        </w:rPr>
        <w:lastRenderedPageBreak/>
        <w:pict>
          <v:roundrect id="_x0000_s1050" style="position:absolute;margin-left:253.4pt;margin-top:8.6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r w:rsidRPr="009668FE">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E02413" w:rsidRDefault="00E02413" w:rsidP="00E02413">
      <w:pPr>
        <w:jc w:val="both"/>
        <w:rPr>
          <w:rFonts w:asciiTheme="minorHAnsi" w:hAnsiTheme="minorHAnsi"/>
        </w:rPr>
      </w:pPr>
      <w:r w:rsidRPr="00E02413">
        <w:rPr>
          <w:rFonts w:asciiTheme="minorHAnsi" w:hAnsiTheme="minorHAnsi"/>
        </w:rPr>
        <w:t>Financial reporting is the life-blood of the capital markets. Regulatory action has often been taken against directors for negligence, recklessness or fraud in relation to financial statements.</w:t>
      </w:r>
    </w:p>
    <w:p w:rsidR="00FA3D7F" w:rsidRDefault="009668FE" w:rsidP="003F6F40">
      <w:pPr>
        <w:rPr>
          <w:rFonts w:asciiTheme="minorHAnsi" w:hAnsiTheme="minorHAnsi"/>
        </w:rPr>
      </w:pPr>
      <w:r>
        <w:rPr>
          <w:rFonts w:asciiTheme="minorHAnsi" w:hAnsiTheme="minorHAnsi"/>
          <w:noProof/>
          <w:lang w:val="en-US"/>
        </w:rPr>
        <w:pict>
          <v:roundrect id="_x0000_s1049" style="position:absolute;margin-left:-6.8pt;margin-top:10.2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E02413" w:rsidRPr="00E02413" w:rsidRDefault="00E02413" w:rsidP="00E02413">
      <w:pPr>
        <w:pStyle w:val="ListParagraph"/>
        <w:numPr>
          <w:ilvl w:val="0"/>
          <w:numId w:val="15"/>
        </w:numPr>
        <w:spacing w:after="0" w:line="240" w:lineRule="auto"/>
        <w:ind w:left="284" w:hanging="284"/>
        <w:jc w:val="both"/>
        <w:rPr>
          <w:rFonts w:asciiTheme="minorHAnsi" w:hAnsiTheme="minorHAnsi"/>
        </w:rPr>
      </w:pPr>
      <w:r w:rsidRPr="00E02413">
        <w:rPr>
          <w:rFonts w:asciiTheme="minorHAnsi" w:hAnsiTheme="minorHAnsi"/>
        </w:rPr>
        <w:t>To understand some of the areas where things may go wrong in relation to financial reporting and the regulators expectation in relation to financial reporting.</w:t>
      </w:r>
    </w:p>
    <w:p w:rsidR="00E02413" w:rsidRPr="00E02413" w:rsidRDefault="00E02413" w:rsidP="00E02413">
      <w:pPr>
        <w:pStyle w:val="ListParagraph"/>
        <w:numPr>
          <w:ilvl w:val="0"/>
          <w:numId w:val="15"/>
        </w:numPr>
        <w:spacing w:after="0" w:line="240" w:lineRule="auto"/>
        <w:ind w:left="284" w:hanging="284"/>
        <w:jc w:val="both"/>
        <w:rPr>
          <w:rFonts w:asciiTheme="minorHAnsi" w:hAnsiTheme="minorHAnsi"/>
        </w:rPr>
      </w:pPr>
      <w:r w:rsidRPr="00E02413">
        <w:rPr>
          <w:rFonts w:asciiTheme="minorHAnsi" w:hAnsiTheme="minorHAnsi"/>
        </w:rPr>
        <w:t>To understand the financial statement reporting ecosystem and the common pitfalls.</w:t>
      </w:r>
    </w:p>
    <w:p w:rsidR="00E02413" w:rsidRDefault="009668FE" w:rsidP="00E02413">
      <w:pPr>
        <w:jc w:val="both"/>
        <w:rPr>
          <w:rFonts w:asciiTheme="minorHAnsi" w:hAnsiTheme="minorHAnsi"/>
        </w:rPr>
      </w:pPr>
      <w:r w:rsidRPr="009668FE">
        <w:rPr>
          <w:rFonts w:asciiTheme="minorHAnsi" w:hAnsiTheme="minorHAnsi"/>
          <w:noProof/>
          <w:lang w:eastAsia="zh-CN"/>
        </w:rPr>
        <w:pict>
          <v:roundrect id="_x0000_s1129" style="position:absolute;left:0;text-align:left;margin-left:-6.8pt;margin-top:10.3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E02413" w:rsidRPr="00E02413" w:rsidRDefault="00E02413" w:rsidP="00E02413">
      <w:pPr>
        <w:pStyle w:val="ListParagraph"/>
        <w:numPr>
          <w:ilvl w:val="0"/>
          <w:numId w:val="16"/>
        </w:numPr>
        <w:spacing w:after="0" w:line="240" w:lineRule="auto"/>
        <w:ind w:left="284" w:hanging="284"/>
        <w:jc w:val="both"/>
        <w:rPr>
          <w:rFonts w:asciiTheme="minorHAnsi" w:hAnsiTheme="minorHAnsi"/>
        </w:rPr>
      </w:pPr>
      <w:r w:rsidRPr="00E02413">
        <w:rPr>
          <w:rFonts w:asciiTheme="minorHAnsi" w:hAnsiTheme="minorHAnsi"/>
        </w:rPr>
        <w:t>Extracting value from external auditors</w:t>
      </w:r>
    </w:p>
    <w:p w:rsidR="00E02413" w:rsidRPr="00E02413" w:rsidRDefault="00E02413" w:rsidP="00E02413">
      <w:pPr>
        <w:pStyle w:val="ListParagraph"/>
        <w:numPr>
          <w:ilvl w:val="0"/>
          <w:numId w:val="16"/>
        </w:numPr>
        <w:spacing w:after="0" w:line="240" w:lineRule="auto"/>
        <w:ind w:left="284" w:hanging="284"/>
        <w:jc w:val="both"/>
        <w:rPr>
          <w:rFonts w:asciiTheme="minorHAnsi" w:hAnsiTheme="minorHAnsi"/>
        </w:rPr>
      </w:pPr>
      <w:r w:rsidRPr="00E02413">
        <w:rPr>
          <w:rFonts w:asciiTheme="minorHAnsi" w:hAnsiTheme="minorHAnsi"/>
        </w:rPr>
        <w:t>Effective audit committees and boards</w:t>
      </w:r>
    </w:p>
    <w:p w:rsidR="00E02413" w:rsidRPr="00E02413" w:rsidRDefault="00E02413" w:rsidP="00E02413">
      <w:pPr>
        <w:pStyle w:val="ListParagraph"/>
        <w:numPr>
          <w:ilvl w:val="1"/>
          <w:numId w:val="17"/>
        </w:numPr>
        <w:spacing w:after="0" w:line="240" w:lineRule="auto"/>
        <w:ind w:left="567" w:hanging="283"/>
        <w:jc w:val="both"/>
        <w:rPr>
          <w:rFonts w:asciiTheme="minorHAnsi" w:hAnsiTheme="minorHAnsi"/>
          <w:i/>
        </w:rPr>
      </w:pPr>
      <w:r w:rsidRPr="00E02413">
        <w:rPr>
          <w:rFonts w:asciiTheme="minorHAnsi" w:hAnsiTheme="minorHAnsi"/>
          <w:i/>
        </w:rPr>
        <w:t>diversity and competency</w:t>
      </w:r>
    </w:p>
    <w:p w:rsidR="00E02413" w:rsidRPr="00E02413" w:rsidRDefault="00E02413" w:rsidP="00E02413">
      <w:pPr>
        <w:pStyle w:val="ListParagraph"/>
        <w:numPr>
          <w:ilvl w:val="1"/>
          <w:numId w:val="17"/>
        </w:numPr>
        <w:spacing w:after="0" w:line="240" w:lineRule="auto"/>
        <w:ind w:left="567" w:hanging="283"/>
        <w:jc w:val="both"/>
        <w:rPr>
          <w:rFonts w:asciiTheme="minorHAnsi" w:hAnsiTheme="minorHAnsi"/>
          <w:i/>
        </w:rPr>
      </w:pPr>
      <w:r w:rsidRPr="00E02413">
        <w:rPr>
          <w:rFonts w:asciiTheme="minorHAnsi" w:hAnsiTheme="minorHAnsi"/>
          <w:i/>
        </w:rPr>
        <w:t>regulators expectations</w:t>
      </w:r>
    </w:p>
    <w:p w:rsidR="00E02413" w:rsidRPr="00E02413" w:rsidRDefault="00E02413" w:rsidP="00E02413">
      <w:pPr>
        <w:pStyle w:val="ListParagraph"/>
        <w:numPr>
          <w:ilvl w:val="0"/>
          <w:numId w:val="16"/>
        </w:numPr>
        <w:spacing w:after="0" w:line="240" w:lineRule="auto"/>
        <w:ind w:left="284" w:hanging="284"/>
        <w:jc w:val="both"/>
        <w:rPr>
          <w:rFonts w:asciiTheme="minorHAnsi" w:hAnsiTheme="minorHAnsi"/>
        </w:rPr>
      </w:pPr>
      <w:r w:rsidRPr="00E02413">
        <w:rPr>
          <w:rFonts w:asciiTheme="minorHAnsi" w:hAnsiTheme="minorHAnsi"/>
        </w:rPr>
        <w:t>Reporting timelines</w:t>
      </w:r>
    </w:p>
    <w:p w:rsidR="00E02413" w:rsidRPr="00E02413" w:rsidRDefault="00E02413" w:rsidP="00E02413">
      <w:pPr>
        <w:pStyle w:val="ListParagraph"/>
        <w:numPr>
          <w:ilvl w:val="0"/>
          <w:numId w:val="16"/>
        </w:numPr>
        <w:spacing w:after="0" w:line="240" w:lineRule="auto"/>
        <w:ind w:left="284" w:hanging="284"/>
        <w:jc w:val="both"/>
        <w:rPr>
          <w:rFonts w:asciiTheme="minorHAnsi" w:hAnsiTheme="minorHAnsi"/>
          <w:i/>
        </w:rPr>
      </w:pPr>
      <w:r w:rsidRPr="00E02413">
        <w:rPr>
          <w:rFonts w:asciiTheme="minorHAnsi" w:hAnsiTheme="minorHAnsi"/>
        </w:rPr>
        <w:t>Analysing financial statements</w:t>
      </w:r>
    </w:p>
    <w:p w:rsidR="00E02413" w:rsidRPr="00E02413" w:rsidRDefault="00E02413" w:rsidP="00E02413">
      <w:pPr>
        <w:pStyle w:val="ListParagraph"/>
        <w:numPr>
          <w:ilvl w:val="1"/>
          <w:numId w:val="16"/>
        </w:numPr>
        <w:spacing w:after="0" w:line="240" w:lineRule="auto"/>
        <w:ind w:left="567" w:hanging="283"/>
        <w:jc w:val="both"/>
        <w:rPr>
          <w:rFonts w:asciiTheme="minorHAnsi" w:hAnsiTheme="minorHAnsi"/>
          <w:i/>
        </w:rPr>
      </w:pPr>
      <w:r w:rsidRPr="00E02413">
        <w:rPr>
          <w:rFonts w:asciiTheme="minorHAnsi" w:hAnsiTheme="minorHAnsi"/>
          <w:i/>
        </w:rPr>
        <w:t>common pitfalls</w:t>
      </w:r>
    </w:p>
    <w:p w:rsidR="00E02413" w:rsidRDefault="009668FE" w:rsidP="002176CF">
      <w:pPr>
        <w:jc w:val="both"/>
        <w:rPr>
          <w:rFonts w:asciiTheme="minorHAnsi" w:hAnsiTheme="minorHAnsi"/>
        </w:rPr>
      </w:pPr>
      <w:r>
        <w:rPr>
          <w:rFonts w:asciiTheme="minorHAnsi" w:hAnsiTheme="minorHAnsi"/>
          <w:noProof/>
          <w:lang w:val="en-US"/>
        </w:rPr>
        <w:pict>
          <v:roundrect id="_x0000_s1132" style="position:absolute;left:0;text-align:left;margin-left:-6.8pt;margin-top:12.25pt;width:150.55pt;height:23.4pt;z-index:-251572224" arcsize="10923f">
            <v:shadow on="t" offset="3pt" offset2="2pt"/>
            <v:textbox>
              <w:txbxContent>
                <w:p w:rsidR="00E02413" w:rsidRPr="00B374FE" w:rsidRDefault="00E02413" w:rsidP="00E02413">
                  <w:pPr>
                    <w:rPr>
                      <w:rFonts w:asciiTheme="minorHAnsi" w:hAnsiTheme="minorHAnsi"/>
                    </w:rPr>
                  </w:pPr>
                  <w:r w:rsidRPr="00B374FE">
                    <w:rPr>
                      <w:rFonts w:asciiTheme="minorHAnsi" w:hAnsiTheme="minorHAnsi"/>
                    </w:rPr>
                    <w:t>WHO SHOULD ATTEND</w:t>
                  </w:r>
                </w:p>
              </w:txbxContent>
            </v:textbox>
          </v:roundrect>
        </w:pict>
      </w:r>
    </w:p>
    <w:p w:rsidR="00E02413" w:rsidRDefault="00E02413" w:rsidP="002176CF">
      <w:pPr>
        <w:jc w:val="both"/>
        <w:rPr>
          <w:rFonts w:asciiTheme="minorHAnsi" w:hAnsiTheme="minorHAnsi"/>
        </w:rPr>
      </w:pPr>
    </w:p>
    <w:p w:rsidR="00E02413" w:rsidRPr="002176CF" w:rsidRDefault="00E02413" w:rsidP="002176CF">
      <w:pPr>
        <w:jc w:val="both"/>
        <w:rPr>
          <w:rFonts w:asciiTheme="minorHAnsi" w:hAnsiTheme="minorHAnsi"/>
        </w:rPr>
      </w:pPr>
    </w:p>
    <w:p w:rsidR="00FA3D7F" w:rsidRPr="00FA3D7F" w:rsidRDefault="00FA3D7F" w:rsidP="00FA3D7F">
      <w:pPr>
        <w:rPr>
          <w:rFonts w:asciiTheme="minorHAnsi" w:hAnsiTheme="minorHAnsi"/>
        </w:rPr>
      </w:pPr>
      <w:r w:rsidRPr="00FA3D7F">
        <w:rPr>
          <w:rFonts w:asciiTheme="minorHAnsi" w:hAnsiTheme="minorHAnsi"/>
        </w:rPr>
        <w:t xml:space="preserve">Company Directors / Financial Controllers &amp; Finance Managers / Accountants &amp; Auditors </w:t>
      </w:r>
    </w:p>
    <w:p w:rsidR="00FA3D7F" w:rsidRDefault="00FA3D7F" w:rsidP="00FA3D7F">
      <w:pPr>
        <w:rPr>
          <w:rFonts w:asciiTheme="minorHAnsi" w:hAnsiTheme="minorHAnsi"/>
        </w:rPr>
      </w:pPr>
      <w:r w:rsidRPr="00FA3D7F">
        <w:rPr>
          <w:rFonts w:asciiTheme="minorHAnsi" w:hAnsiTheme="minorHAnsi"/>
        </w:rPr>
        <w:t>Company Secretaries / Academicians / Fund &amp; Investment Managers</w:t>
      </w:r>
    </w:p>
    <w:p w:rsidR="00E02413" w:rsidRDefault="00E02413" w:rsidP="003F6F40">
      <w:pPr>
        <w:rPr>
          <w:rFonts w:asciiTheme="minorHAnsi" w:hAnsiTheme="minorHAnsi"/>
        </w:rPr>
      </w:pPr>
    </w:p>
    <w:p w:rsidR="00E02413" w:rsidRDefault="00E02413" w:rsidP="003F6F40">
      <w:pPr>
        <w:rPr>
          <w:rFonts w:asciiTheme="minorHAnsi" w:hAnsiTheme="minorHAnsi"/>
        </w:rPr>
      </w:pPr>
    </w:p>
    <w:p w:rsidR="003F5F1C" w:rsidRDefault="003F5F1C" w:rsidP="003F6F40">
      <w:pPr>
        <w:rPr>
          <w:rFonts w:asciiTheme="minorHAnsi" w:hAnsiTheme="minorHAnsi"/>
        </w:rPr>
      </w:pPr>
    </w:p>
    <w:p w:rsidR="00FA3D7F" w:rsidRDefault="009668FE" w:rsidP="003F6F40">
      <w:pPr>
        <w:rPr>
          <w:rFonts w:asciiTheme="minorHAnsi" w:hAnsiTheme="minorHAnsi"/>
        </w:rPr>
      </w:pPr>
      <w:r w:rsidRPr="009668FE">
        <w:rPr>
          <w:rFonts w:asciiTheme="minorHAnsi" w:hAnsiTheme="minorHAnsi"/>
          <w:noProof/>
          <w:lang w:eastAsia="zh-CN"/>
        </w:rPr>
        <w:pict>
          <v:roundrect id="_x0000_s1110" style="position:absolute;margin-left:-21.45pt;margin-top:12.15pt;width:538.5pt;height:197.25pt;z-index:-251573248" arcsize="10923f" fillcolor="#f2f2f2 [3052]" stroked="f">
            <v:textbox style="mso-next-textbox:#_x0000_s1110">
              <w:txbxContent>
                <w:p w:rsidR="002176CF" w:rsidRPr="002176CF" w:rsidRDefault="002176CF" w:rsidP="002176CF">
                  <w:pPr>
                    <w:rPr>
                      <w:rFonts w:asciiTheme="minorHAnsi" w:hAnsiTheme="minorHAnsi"/>
                      <w:sz w:val="20"/>
                      <w:u w:val="single"/>
                    </w:rPr>
                  </w:pPr>
                  <w:r w:rsidRPr="002176CF">
                    <w:rPr>
                      <w:rFonts w:asciiTheme="minorHAnsi" w:hAnsiTheme="minorHAnsi"/>
                      <w:sz w:val="20"/>
                      <w:u w:val="single"/>
                    </w:rPr>
                    <w:t>PRESENTER PROFILE</w:t>
                  </w:r>
                </w:p>
                <w:p w:rsidR="002176CF" w:rsidRPr="002176CF" w:rsidRDefault="002176CF" w:rsidP="002176CF">
                  <w:pPr>
                    <w:rPr>
                      <w:rFonts w:asciiTheme="minorHAnsi" w:hAnsiTheme="minorHAnsi"/>
                      <w:sz w:val="20"/>
                      <w:u w:val="single"/>
                    </w:rPr>
                  </w:pPr>
                </w:p>
                <w:p w:rsidR="002176CF" w:rsidRPr="002176CF" w:rsidRDefault="002176CF" w:rsidP="002176CF">
                  <w:pPr>
                    <w:rPr>
                      <w:rFonts w:asciiTheme="minorHAnsi" w:hAnsiTheme="minorHAnsi"/>
                      <w:b/>
                      <w:sz w:val="20"/>
                    </w:rPr>
                  </w:pPr>
                  <w:r w:rsidRPr="002176CF">
                    <w:rPr>
                      <w:rFonts w:asciiTheme="minorHAnsi" w:hAnsiTheme="minorHAnsi"/>
                      <w:b/>
                      <w:sz w:val="20"/>
                    </w:rPr>
                    <w:t>MR. DEVANESAN EVANSON</w:t>
                  </w:r>
                </w:p>
                <w:p w:rsidR="00CA59D7" w:rsidRDefault="002176CF" w:rsidP="00A33C8A">
                  <w:pPr>
                    <w:jc w:val="both"/>
                    <w:rPr>
                      <w:rFonts w:asciiTheme="minorHAnsi" w:hAnsiTheme="minorHAnsi"/>
                      <w:sz w:val="20"/>
                    </w:rPr>
                  </w:pPr>
                  <w:r w:rsidRPr="002176CF">
                    <w:rPr>
                      <w:rFonts w:asciiTheme="minorHAnsi" w:hAnsiTheme="minorHAnsi"/>
                      <w:sz w:val="20"/>
                    </w:rPr>
                    <w:t>Mr. Devanesan 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CA59D7" w:rsidRDefault="00CA59D7" w:rsidP="00A33C8A">
                  <w:pPr>
                    <w:jc w:val="both"/>
                    <w:rPr>
                      <w:rFonts w:asciiTheme="minorHAnsi" w:hAnsiTheme="minorHAnsi"/>
                      <w:sz w:val="20"/>
                    </w:rPr>
                  </w:pPr>
                </w:p>
                <w:p w:rsidR="00CA59D7" w:rsidRDefault="002176CF" w:rsidP="00A33C8A">
                  <w:pPr>
                    <w:jc w:val="both"/>
                    <w:rPr>
                      <w:rFonts w:asciiTheme="minorHAnsi" w:hAnsiTheme="minorHAnsi"/>
                      <w:sz w:val="20"/>
                    </w:rPr>
                  </w:pPr>
                  <w:r w:rsidRPr="002176C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CA59D7" w:rsidRDefault="00CA59D7" w:rsidP="00A33C8A">
                  <w:pPr>
                    <w:jc w:val="both"/>
                    <w:rPr>
                      <w:rFonts w:asciiTheme="minorHAnsi" w:hAnsiTheme="minorHAnsi"/>
                      <w:sz w:val="20"/>
                    </w:rPr>
                  </w:pPr>
                </w:p>
                <w:p w:rsidR="002176CF" w:rsidRPr="002176CF" w:rsidRDefault="002176CF" w:rsidP="00A33C8A">
                  <w:pPr>
                    <w:jc w:val="both"/>
                    <w:rPr>
                      <w:rFonts w:asciiTheme="minorHAnsi" w:hAnsiTheme="minorHAnsi"/>
                      <w:sz w:val="20"/>
                    </w:rPr>
                  </w:pPr>
                  <w:r w:rsidRPr="002176CF">
                    <w:rPr>
                      <w:rFonts w:asciiTheme="minorHAnsi" w:hAnsiTheme="minorHAnsi"/>
                      <w:sz w:val="20"/>
                    </w:rPr>
                    <w:t>Devanesan is currently a free-lance trainer in the areas of Risk, Controls, Governance, Internal Audit and Listing Requirements.</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Default="00FA3D7F" w:rsidP="003F6F40">
      <w:pPr>
        <w:rPr>
          <w:rFonts w:asciiTheme="minorHAnsi" w:hAnsiTheme="minorHAnsi"/>
        </w:rPr>
      </w:pPr>
      <w:r w:rsidRPr="00FA3D7F">
        <w:rPr>
          <w:rFonts w:asciiTheme="minorHAnsi" w:hAnsiTheme="minorHAnsi"/>
        </w:rPr>
        <w:t>Lectures facilitated by PowerPoint presentation and case studies discussion.</w:t>
      </w:r>
    </w:p>
    <w:p w:rsidR="00FA3D7F" w:rsidRDefault="00FA3D7F" w:rsidP="003F6F40">
      <w:pPr>
        <w:rPr>
          <w:rFonts w:asciiTheme="minorHAnsi" w:hAnsiTheme="minorHAnsi"/>
        </w:rPr>
      </w:pPr>
    </w:p>
    <w:p w:rsidR="00FA3D7F" w:rsidRDefault="009668FE"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0209B6" w:rsidP="00B374FE">
            <w:pPr>
              <w:ind w:right="308"/>
              <w:jc w:val="both"/>
              <w:rPr>
                <w:rFonts w:asciiTheme="minorHAnsi" w:hAnsiTheme="minorHAnsi" w:cs="Segoe UI Semibold"/>
                <w:sz w:val="20"/>
              </w:rPr>
            </w:pPr>
            <w:r>
              <w:rPr>
                <w:rFonts w:asciiTheme="minorHAnsi" w:hAnsiTheme="minorHAnsi" w:cs="Segoe UI Semibold"/>
                <w:sz w:val="20"/>
              </w:rPr>
              <w:t>20</w:t>
            </w:r>
            <w:r w:rsidRPr="000209B6">
              <w:rPr>
                <w:rFonts w:asciiTheme="minorHAnsi" w:hAnsiTheme="minorHAnsi" w:cs="Segoe UI Semibold"/>
                <w:sz w:val="20"/>
                <w:vertAlign w:val="superscript"/>
              </w:rPr>
              <w:t>th</w:t>
            </w:r>
            <w:r>
              <w:rPr>
                <w:rFonts w:asciiTheme="minorHAnsi" w:hAnsiTheme="minorHAnsi" w:cs="Segoe UI Semibold"/>
                <w:sz w:val="20"/>
              </w:rPr>
              <w:t xml:space="preserve"> Oct / 7</w:t>
            </w:r>
            <w:r w:rsidRPr="000209B6">
              <w:rPr>
                <w:rFonts w:asciiTheme="minorHAnsi" w:hAnsiTheme="minorHAnsi" w:cs="Segoe UI Semibold"/>
                <w:sz w:val="20"/>
                <w:vertAlign w:val="superscript"/>
              </w:rPr>
              <w:t>th</w:t>
            </w:r>
            <w:r>
              <w:rPr>
                <w:rFonts w:asciiTheme="minorHAnsi" w:hAnsiTheme="minorHAnsi" w:cs="Segoe UI Semibold"/>
                <w:sz w:val="20"/>
              </w:rPr>
              <w:t xml:space="preserve"> Dec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0209B6"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0209B6">
            <w:pPr>
              <w:ind w:right="308"/>
              <w:jc w:val="both"/>
              <w:rPr>
                <w:rFonts w:asciiTheme="minorHAnsi" w:hAnsiTheme="minorHAnsi" w:cs="Segoe UI Semibold"/>
                <w:sz w:val="20"/>
              </w:rPr>
            </w:pPr>
            <w:r w:rsidRPr="00D90843">
              <w:rPr>
                <w:rFonts w:asciiTheme="minorHAnsi" w:hAnsiTheme="minorHAnsi" w:cs="Segoe UI Semibold"/>
                <w:sz w:val="20"/>
              </w:rPr>
              <w:t>RM</w:t>
            </w:r>
            <w:r w:rsidR="000209B6">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0209B6">
              <w:rPr>
                <w:rFonts w:asciiTheme="minorHAnsi" w:hAnsiTheme="minorHAnsi" w:cs="Segoe UI Semibold"/>
                <w:bCs/>
                <w:sz w:val="20"/>
              </w:rPr>
              <w:t>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9668F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59.7pt;margin-top:10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A3D7F" w:rsidRDefault="00FA3D7F">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2176CF" w:rsidRDefault="002176CF">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2176CF" w:rsidRDefault="002176CF">
      <w:pPr>
        <w:rPr>
          <w:rFonts w:asciiTheme="minorHAnsi" w:hAnsiTheme="minorHAnsi"/>
        </w:rPr>
      </w:pPr>
    </w:p>
    <w:p w:rsidR="002176CF" w:rsidRPr="00B26841" w:rsidRDefault="002176CF">
      <w:pPr>
        <w:rPr>
          <w:rFonts w:asciiTheme="minorHAnsi" w:hAnsiTheme="minorHAnsi"/>
        </w:rPr>
        <w:sectPr w:rsidR="002176CF"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BC0460" w:rsidRDefault="00BC0460"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2176CF" w:rsidRDefault="002176CF" w:rsidP="001969FF">
      <w:pPr>
        <w:ind w:left="-709"/>
        <w:rPr>
          <w:rFonts w:asciiTheme="minorHAnsi" w:hAnsiTheme="minorHAnsi"/>
          <w:b/>
          <w:sz w:val="20"/>
        </w:rPr>
      </w:pPr>
    </w:p>
    <w:p w:rsidR="00D90843" w:rsidRDefault="00D90843" w:rsidP="001969FF">
      <w:pPr>
        <w:ind w:left="-709"/>
        <w:rPr>
          <w:rFonts w:asciiTheme="minorHAnsi" w:hAnsiTheme="minorHAnsi"/>
        </w:rPr>
      </w:pPr>
    </w:p>
    <w:p w:rsidR="004B3A5D" w:rsidRPr="00D90843" w:rsidRDefault="004B3A5D" w:rsidP="001969FF">
      <w:pPr>
        <w:ind w:left="-709"/>
        <w:rPr>
          <w:rFonts w:asciiTheme="minorHAnsi" w:hAnsiTheme="minorHAnsi"/>
        </w:rPr>
      </w:pP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 w:rsidR="002176CF" w:rsidRDefault="002176CF"/>
    <w:p w:rsidR="002176CF" w:rsidRDefault="002176CF"/>
    <w:p w:rsidR="002176CF" w:rsidRDefault="002176CF"/>
    <w:p w:rsidR="002176CF" w:rsidRDefault="002176CF">
      <w:pPr>
        <w:sectPr w:rsidR="002176CF" w:rsidSect="00800675">
          <w:type w:val="continuous"/>
          <w:pgSz w:w="11906" w:h="16838" w:code="9"/>
          <w:pgMar w:top="806" w:right="922" w:bottom="900" w:left="1800" w:header="0" w:footer="0" w:gutter="0"/>
          <w:cols w:num="2" w:space="284"/>
          <w:titlePg/>
          <w:docGrid w:linePitch="299"/>
        </w:sectPr>
      </w:pPr>
    </w:p>
    <w:p w:rsidR="00E02413" w:rsidRDefault="00E02413" w:rsidP="00D35263">
      <w:pPr>
        <w:jc w:val="center"/>
        <w:rPr>
          <w:rFonts w:asciiTheme="majorHAnsi" w:hAnsiTheme="majorHAnsi"/>
          <w:sz w:val="28"/>
          <w:szCs w:val="28"/>
          <w:u w:val="single"/>
        </w:rPr>
      </w:pPr>
    </w:p>
    <w:p w:rsidR="00E02413" w:rsidRDefault="00E02413" w:rsidP="00D35263">
      <w:pPr>
        <w:jc w:val="center"/>
        <w:rPr>
          <w:rFonts w:asciiTheme="majorHAnsi" w:hAnsiTheme="majorHAnsi"/>
          <w:sz w:val="28"/>
          <w:szCs w:val="28"/>
          <w:u w:val="single"/>
        </w:rPr>
      </w:pPr>
    </w:p>
    <w:p w:rsidR="00E02413" w:rsidRDefault="00E02413" w:rsidP="00D35263">
      <w:pPr>
        <w:jc w:val="center"/>
        <w:rPr>
          <w:rFonts w:asciiTheme="majorHAnsi" w:hAnsiTheme="majorHAnsi"/>
          <w:sz w:val="28"/>
          <w:szCs w:val="28"/>
          <w:u w:val="single"/>
        </w:rPr>
      </w:pPr>
    </w:p>
    <w:p w:rsidR="00E02413" w:rsidRDefault="00E02413"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E02413" w:rsidRPr="00E02413" w:rsidRDefault="00E02413" w:rsidP="00E02413">
      <w:pPr>
        <w:jc w:val="center"/>
        <w:rPr>
          <w:rFonts w:asciiTheme="majorHAnsi" w:eastAsiaTheme="majorEastAsia" w:hAnsiTheme="majorHAnsi" w:cstheme="majorBidi"/>
          <w:b/>
          <w:bCs/>
          <w:color w:val="365F91" w:themeColor="accent1" w:themeShade="BF"/>
          <w:sz w:val="36"/>
          <w:szCs w:val="36"/>
        </w:rPr>
      </w:pPr>
      <w:r w:rsidRPr="00E02413">
        <w:rPr>
          <w:rFonts w:asciiTheme="majorHAnsi" w:eastAsiaTheme="majorEastAsia" w:hAnsiTheme="majorHAnsi" w:cstheme="majorBidi"/>
          <w:b/>
          <w:bCs/>
          <w:color w:val="365F91" w:themeColor="accent1" w:themeShade="BF"/>
          <w:sz w:val="36"/>
          <w:szCs w:val="36"/>
        </w:rPr>
        <w:t>Financial Reporting</w:t>
      </w:r>
    </w:p>
    <w:p w:rsidR="00E02413" w:rsidRDefault="00E02413" w:rsidP="00E02413">
      <w:pPr>
        <w:jc w:val="center"/>
        <w:rPr>
          <w:rFonts w:asciiTheme="majorHAnsi" w:eastAsiaTheme="majorEastAsia" w:hAnsiTheme="majorHAnsi" w:cstheme="majorBidi"/>
          <w:b/>
          <w:bCs/>
          <w:color w:val="365F91" w:themeColor="accent1" w:themeShade="BF"/>
          <w:sz w:val="36"/>
          <w:szCs w:val="36"/>
        </w:rPr>
      </w:pPr>
      <w:r w:rsidRPr="00E02413">
        <w:rPr>
          <w:rFonts w:asciiTheme="majorHAnsi" w:eastAsiaTheme="majorEastAsia" w:hAnsiTheme="majorHAnsi" w:cstheme="majorBidi"/>
          <w:b/>
          <w:bCs/>
          <w:color w:val="365F91" w:themeColor="accent1" w:themeShade="BF"/>
          <w:sz w:val="36"/>
          <w:szCs w:val="36"/>
        </w:rPr>
        <w:t>-</w:t>
      </w:r>
      <w:r w:rsidRPr="00E02413">
        <w:rPr>
          <w:rFonts w:asciiTheme="majorHAnsi" w:eastAsiaTheme="majorEastAsia" w:hAnsiTheme="majorHAnsi" w:cstheme="majorBidi"/>
          <w:b/>
          <w:bCs/>
          <w:color w:val="365F91" w:themeColor="accent1" w:themeShade="BF"/>
          <w:sz w:val="36"/>
          <w:szCs w:val="36"/>
        </w:rPr>
        <w:tab/>
        <w:t>Pitfalls And What To Watch Out For</w:t>
      </w:r>
    </w:p>
    <w:p w:rsidR="000D57B6" w:rsidRDefault="000209B6" w:rsidP="00E02413">
      <w:pPr>
        <w:jc w:val="center"/>
        <w:rPr>
          <w:rFonts w:asciiTheme="minorHAnsi" w:hAnsiTheme="minorHAnsi"/>
          <w:sz w:val="24"/>
          <w:szCs w:val="24"/>
        </w:rPr>
      </w:pPr>
      <w:r>
        <w:rPr>
          <w:rFonts w:asciiTheme="minorHAnsi" w:hAnsiTheme="minorHAnsi"/>
          <w:sz w:val="24"/>
          <w:szCs w:val="24"/>
        </w:rPr>
        <w:t>(</w:t>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9668FE">
      <w:pPr>
        <w:rPr>
          <w:rFonts w:asciiTheme="minorHAnsi" w:hAnsiTheme="minorHAnsi"/>
          <w:sz w:val="24"/>
          <w:szCs w:val="24"/>
        </w:rPr>
      </w:pPr>
      <w:r w:rsidRPr="009668F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468"/>
        <w:gridCol w:w="450"/>
        <w:gridCol w:w="3150"/>
        <w:gridCol w:w="270"/>
        <w:gridCol w:w="270"/>
        <w:gridCol w:w="243"/>
        <w:gridCol w:w="236"/>
      </w:tblGrid>
      <w:tr w:rsidR="00FB169B" w:rsidRPr="00E76169" w:rsidTr="000209B6">
        <w:tc>
          <w:tcPr>
            <w:tcW w:w="250" w:type="dxa"/>
          </w:tcPr>
          <w:p w:rsidR="00FB169B" w:rsidRPr="00E76169" w:rsidRDefault="009668FE"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468" w:type="dxa"/>
          </w:tcPr>
          <w:p w:rsidR="00FB169B" w:rsidRPr="00E76169" w:rsidRDefault="000209B6" w:rsidP="00C97D66">
            <w:pPr>
              <w:rPr>
                <w:rFonts w:asciiTheme="minorHAnsi" w:hAnsiTheme="minorHAnsi"/>
                <w:sz w:val="24"/>
                <w:szCs w:val="24"/>
                <w:lang w:val="en-US"/>
              </w:rPr>
            </w:pPr>
            <w:r>
              <w:rPr>
                <w:rFonts w:asciiTheme="minorHAnsi" w:hAnsiTheme="minorHAnsi"/>
                <w:sz w:val="24"/>
                <w:szCs w:val="24"/>
                <w:lang w:val="en-US"/>
              </w:rPr>
              <w:t>20</w:t>
            </w:r>
            <w:r w:rsidRPr="000209B6">
              <w:rPr>
                <w:rFonts w:asciiTheme="minorHAnsi" w:hAnsiTheme="minorHAnsi"/>
                <w:sz w:val="24"/>
                <w:szCs w:val="24"/>
                <w:vertAlign w:val="superscript"/>
                <w:lang w:val="en-US"/>
              </w:rPr>
              <w:t>th</w:t>
            </w:r>
            <w:r>
              <w:rPr>
                <w:rFonts w:asciiTheme="minorHAnsi" w:hAnsiTheme="minorHAnsi"/>
                <w:sz w:val="24"/>
                <w:szCs w:val="24"/>
                <w:lang w:val="en-US"/>
              </w:rPr>
              <w:t xml:space="preserve"> October</w:t>
            </w:r>
          </w:p>
        </w:tc>
        <w:tc>
          <w:tcPr>
            <w:tcW w:w="450" w:type="dxa"/>
          </w:tcPr>
          <w:p w:rsidR="00FB169B" w:rsidRPr="00E76169" w:rsidRDefault="000209B6" w:rsidP="00D102CC">
            <w:pPr>
              <w:rPr>
                <w:rFonts w:asciiTheme="minorHAnsi" w:hAnsiTheme="minorHAnsi"/>
                <w:sz w:val="24"/>
                <w:szCs w:val="24"/>
                <w:lang w:val="en-US"/>
              </w:rPr>
            </w:pPr>
            <w:r>
              <w:rPr>
                <w:rFonts w:asciiTheme="minorHAnsi" w:hAnsiTheme="minorHAnsi"/>
                <w:noProof/>
                <w:sz w:val="24"/>
                <w:szCs w:val="24"/>
                <w:lang w:val="en-US"/>
              </w:rPr>
              <w:pict>
                <v:rect id="_x0000_s1134" style="position:absolute;margin-left:3.6pt;margin-top:0;width:10.65pt;height:10.05pt;z-index:251745280;mso-position-horizontal-relative:text;mso-position-vertical:top;mso-position-vertical-relative:margin">
                  <v:shadow on="t" offset=",3pt" offset2=",2pt"/>
                  <w10:wrap anchory="margin"/>
                </v:rect>
              </w:pict>
            </w:r>
          </w:p>
        </w:tc>
        <w:tc>
          <w:tcPr>
            <w:tcW w:w="3150" w:type="dxa"/>
          </w:tcPr>
          <w:p w:rsidR="00FB169B" w:rsidRPr="00E76169" w:rsidRDefault="000209B6" w:rsidP="001969FF">
            <w:pPr>
              <w:rPr>
                <w:rFonts w:asciiTheme="minorHAnsi" w:hAnsiTheme="minorHAnsi"/>
                <w:sz w:val="24"/>
                <w:szCs w:val="24"/>
                <w:lang w:val="en-US"/>
              </w:rPr>
            </w:pPr>
            <w:r>
              <w:rPr>
                <w:rFonts w:asciiTheme="minorHAnsi" w:hAnsiTheme="minorHAnsi"/>
                <w:sz w:val="24"/>
                <w:szCs w:val="24"/>
                <w:lang w:val="en-US"/>
              </w:rPr>
              <w:t>7</w:t>
            </w:r>
            <w:r w:rsidRPr="000209B6">
              <w:rPr>
                <w:rFonts w:asciiTheme="minorHAnsi" w:hAnsiTheme="minorHAnsi"/>
                <w:sz w:val="24"/>
                <w:szCs w:val="24"/>
                <w:vertAlign w:val="superscript"/>
                <w:lang w:val="en-US"/>
              </w:rPr>
              <w:t>th</w:t>
            </w:r>
            <w:r>
              <w:rPr>
                <w:rFonts w:asciiTheme="minorHAnsi" w:hAnsiTheme="minorHAnsi"/>
                <w:sz w:val="24"/>
                <w:szCs w:val="24"/>
                <w:lang w:val="en-US"/>
              </w:rPr>
              <w:t xml:space="preserve"> December 2016</w:t>
            </w: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Pr="00E76169" w:rsidRDefault="00FB169B" w:rsidP="00D102CC">
            <w:pPr>
              <w:rPr>
                <w:rFonts w:asciiTheme="minorHAnsi" w:hAnsiTheme="minorHAnsi"/>
                <w:sz w:val="24"/>
                <w:szCs w:val="24"/>
                <w:lang w:val="en-US"/>
              </w:rPr>
            </w:pPr>
          </w:p>
        </w:tc>
        <w:tc>
          <w:tcPr>
            <w:tcW w:w="243" w:type="dxa"/>
          </w:tcPr>
          <w:p w:rsidR="00FB169B" w:rsidRDefault="00FB169B" w:rsidP="00D102CC">
            <w:pPr>
              <w:rPr>
                <w:rFonts w:asciiTheme="minorHAnsi" w:hAnsiTheme="minorHAnsi"/>
                <w:sz w:val="24"/>
                <w:szCs w:val="24"/>
                <w:lang w:val="en-US"/>
              </w:rPr>
            </w:pPr>
          </w:p>
        </w:tc>
        <w:tc>
          <w:tcPr>
            <w:tcW w:w="236"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9668FE" w:rsidP="00E76169">
      <w:pPr>
        <w:rPr>
          <w:rFonts w:asciiTheme="minorHAnsi" w:hAnsiTheme="minorHAnsi"/>
          <w:sz w:val="24"/>
          <w:szCs w:val="24"/>
        </w:rPr>
      </w:pPr>
      <w:r w:rsidRPr="009668F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9668F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0209B6">
        <w:rPr>
          <w:rFonts w:asciiTheme="minorHAnsi" w:hAnsiTheme="minorHAnsi"/>
          <w:noProof/>
          <w:sz w:val="24"/>
          <w:szCs w:val="24"/>
          <w:lang w:val="en-US"/>
        </w:rPr>
        <w:t>bursatra5</w:t>
      </w:r>
      <w:r w:rsidRPr="00E94F5F">
        <w:rPr>
          <w:rFonts w:asciiTheme="minorHAnsi" w:hAnsiTheme="minorHAnsi"/>
          <w:noProof/>
          <w:sz w:val="24"/>
          <w:szCs w:val="24"/>
          <w:lang w:val="en-US"/>
        </w:rPr>
        <w:t>@bursatra.com.my</w:t>
      </w:r>
    </w:p>
    <w:p w:rsidR="00E76169" w:rsidRDefault="009668FE"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1pt;margin-top:10.2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Pr="00130F53" w:rsidRDefault="00130F53" w:rsidP="00E76169">
      <w:pPr>
        <w:jc w:val="center"/>
        <w:rPr>
          <w:rFonts w:asciiTheme="minorHAnsi" w:hAnsiTheme="minorHAnsi"/>
          <w:sz w:val="20"/>
        </w:rPr>
      </w:pPr>
      <w:r w:rsidRPr="00130F53">
        <w:rPr>
          <w:rFonts w:asciiTheme="minorHAnsi" w:hAnsiTheme="minorHAnsi"/>
          <w:sz w:val="20"/>
        </w:rPr>
        <w:t>BURSATRA SDN BHD is a registered training provider with PSMB (Reg. No: 520353-U)</w:t>
      </w:r>
    </w:p>
    <w:sectPr w:rsidR="00130F53" w:rsidRPr="00130F53"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BCA" w:rsidRDefault="00823BCA">
      <w:r>
        <w:separator/>
      </w:r>
    </w:p>
  </w:endnote>
  <w:endnote w:type="continuationSeparator" w:id="1">
    <w:p w:rsidR="00823BCA" w:rsidRDefault="00823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BCA" w:rsidRDefault="00823BCA">
      <w:r>
        <w:separator/>
      </w:r>
    </w:p>
  </w:footnote>
  <w:footnote w:type="continuationSeparator" w:id="1">
    <w:p w:rsidR="00823BCA" w:rsidRDefault="00823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668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9668FE" w:rsidP="00C24690">
    <w:pPr>
      <w:pStyle w:val="Heading5"/>
      <w:ind w:left="-810" w:hanging="90"/>
      <w:rPr>
        <w:rFonts w:ascii="Century Gothic" w:hAnsi="Century Gothic"/>
        <w:i w:val="0"/>
        <w:iCs/>
        <w:sz w:val="24"/>
        <w:szCs w:val="24"/>
      </w:rPr>
    </w:pPr>
    <w:r w:rsidRPr="009668F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668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754B4"/>
    <w:multiLevelType w:val="hybridMultilevel"/>
    <w:tmpl w:val="C084112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469A1"/>
    <w:multiLevelType w:val="hybridMultilevel"/>
    <w:tmpl w:val="2DBE29C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80B65"/>
    <w:multiLevelType w:val="hybridMultilevel"/>
    <w:tmpl w:val="7578E85A"/>
    <w:lvl w:ilvl="0" w:tplc="14D0C808">
      <w:numFmt w:val="bullet"/>
      <w:lvlText w:val="-"/>
      <w:lvlJc w:val="left"/>
      <w:pPr>
        <w:ind w:left="720" w:hanging="360"/>
      </w:pPr>
      <w:rPr>
        <w:rFonts w:ascii="Calibri" w:eastAsia="Times New Roman" w:hAnsi="Calibri" w:cs="Times New Roman" w:hint="default"/>
        <w:i w:val="0"/>
        <w:sz w:val="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5271B"/>
    <w:multiLevelType w:val="hybridMultilevel"/>
    <w:tmpl w:val="BF3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5"/>
  </w:num>
  <w:num w:numId="4">
    <w:abstractNumId w:val="11"/>
  </w:num>
  <w:num w:numId="5">
    <w:abstractNumId w:val="1"/>
  </w:num>
  <w:num w:numId="6">
    <w:abstractNumId w:val="14"/>
  </w:num>
  <w:num w:numId="7">
    <w:abstractNumId w:val="8"/>
  </w:num>
  <w:num w:numId="8">
    <w:abstractNumId w:val="4"/>
  </w:num>
  <w:num w:numId="9">
    <w:abstractNumId w:val="3"/>
  </w:num>
  <w:num w:numId="10">
    <w:abstractNumId w:val="0"/>
  </w:num>
  <w:num w:numId="11">
    <w:abstractNumId w:val="5"/>
  </w:num>
  <w:num w:numId="12">
    <w:abstractNumId w:val="10"/>
  </w:num>
  <w:num w:numId="13">
    <w:abstractNumId w:val="2"/>
  </w:num>
  <w:num w:numId="14">
    <w:abstractNumId w:val="12"/>
  </w:num>
  <w:num w:numId="15">
    <w:abstractNumId w:val="13"/>
  </w:num>
  <w:num w:numId="16">
    <w:abstractNumId w:val="6"/>
  </w:num>
  <w:num w:numId="17">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7650">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09B6"/>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4A17"/>
    <w:rsid w:val="000E7423"/>
    <w:rsid w:val="000F18B0"/>
    <w:rsid w:val="000F1D91"/>
    <w:rsid w:val="000F7359"/>
    <w:rsid w:val="001012CF"/>
    <w:rsid w:val="00101374"/>
    <w:rsid w:val="00104CCA"/>
    <w:rsid w:val="00104DC9"/>
    <w:rsid w:val="00111448"/>
    <w:rsid w:val="00116013"/>
    <w:rsid w:val="00120F5D"/>
    <w:rsid w:val="001215E3"/>
    <w:rsid w:val="001235DF"/>
    <w:rsid w:val="00130F53"/>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9DA"/>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C286F"/>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5F1C"/>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B4157"/>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77EB1"/>
    <w:rsid w:val="00782EDD"/>
    <w:rsid w:val="00784BD4"/>
    <w:rsid w:val="0079258D"/>
    <w:rsid w:val="007A38E3"/>
    <w:rsid w:val="007A60B4"/>
    <w:rsid w:val="007B4216"/>
    <w:rsid w:val="007C0D3E"/>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3BC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668FE"/>
    <w:rsid w:val="0097354E"/>
    <w:rsid w:val="009812C8"/>
    <w:rsid w:val="009815BA"/>
    <w:rsid w:val="00987CCB"/>
    <w:rsid w:val="00990228"/>
    <w:rsid w:val="009A581A"/>
    <w:rsid w:val="009A7D2F"/>
    <w:rsid w:val="009A7DE5"/>
    <w:rsid w:val="009B1017"/>
    <w:rsid w:val="009B4381"/>
    <w:rsid w:val="009B4A69"/>
    <w:rsid w:val="009C6541"/>
    <w:rsid w:val="009C66CB"/>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59D7"/>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413"/>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E161E-8F35-4870-8A20-882CBF8E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1730</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10</cp:revision>
  <cp:lastPrinted>2015-07-06T11:13:00Z</cp:lastPrinted>
  <dcterms:created xsi:type="dcterms:W3CDTF">2016-01-25T15:25:00Z</dcterms:created>
  <dcterms:modified xsi:type="dcterms:W3CDTF">2016-09-15T21:00:00Z</dcterms:modified>
  <cp:category>CGBP</cp:category>
</cp:coreProperties>
</file>